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</w:t>
      </w:r>
      <w:r w:rsidR="002742A1"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2742A1" w:rsidRPr="002A4E9C" w:rsidRDefault="00B42521" w:rsidP="002742A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bookmarkStart w:id="0" w:name="_GoBack"/>
      <w:r w:rsidR="002A4E9C" w:rsidRPr="002A4E9C">
        <w:rPr>
          <w:rFonts w:ascii="Century Gothic" w:hAnsi="Century Gothic"/>
          <w:b/>
          <w:i/>
          <w:spacing w:val="-1"/>
          <w:sz w:val="20"/>
          <w:szCs w:val="20"/>
        </w:rPr>
        <w:t xml:space="preserve">Zakup koni dla potrzeb KSP WZP-7279/20/436/Z </w:t>
      </w:r>
    </w:p>
    <w:bookmarkEnd w:id="0"/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68675B" w:rsidRPr="002742A1" w:rsidRDefault="00B42521" w:rsidP="002742A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</w:t>
      </w:r>
      <w:r w:rsidR="002742A1">
        <w:rPr>
          <w:rFonts w:ascii="Century Gothic" w:hAnsi="Century Gothic"/>
          <w:i/>
          <w:iCs/>
          <w:sz w:val="16"/>
          <w:szCs w:val="16"/>
        </w:rPr>
        <w:t>ystępowania w imieniu Wykonawcy)</w:t>
      </w:r>
    </w:p>
    <w:sectPr w:rsidR="0068675B" w:rsidRPr="002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2742A1"/>
    <w:rsid w:val="002A4E9C"/>
    <w:rsid w:val="004E55A9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BB4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5</cp:revision>
  <dcterms:created xsi:type="dcterms:W3CDTF">2020-10-12T08:56:00Z</dcterms:created>
  <dcterms:modified xsi:type="dcterms:W3CDTF">2021-01-15T08:05:00Z</dcterms:modified>
</cp:coreProperties>
</file>